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 w:line="560" w:lineRule="exact"/>
        <w:jc w:val="center"/>
        <w:rPr>
          <w:rFonts w:hint="eastAsia" w:ascii="黑体" w:hAnsi="黑体" w:eastAsia="黑体"/>
          <w:b/>
          <w:bCs/>
          <w:color w:val="00000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关于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  <w:lang w:val="en-US" w:eastAsia="zh-CN"/>
        </w:rPr>
        <w:t>工商业峰谷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分时电价调整的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  <w:lang w:val="en-US" w:eastAsia="zh-CN"/>
        </w:rPr>
        <w:t>公告</w:t>
      </w:r>
    </w:p>
    <w:p>
      <w:pPr>
        <w:tabs>
          <w:tab w:val="left" w:pos="5576"/>
        </w:tabs>
        <w:spacing w:line="600" w:lineRule="exact"/>
        <w:ind w:right="-334" w:rightChars="-159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5576"/>
        </w:tabs>
        <w:spacing w:line="600" w:lineRule="exact"/>
        <w:ind w:right="-334" w:rightChars="-15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尊敬的电力客户：</w:t>
      </w:r>
    </w:p>
    <w:p>
      <w:pPr>
        <w:spacing w:line="600" w:lineRule="exact"/>
        <w:ind w:right="-334" w:rightChars="-159" w:firstLine="420" w:firstLineChars="15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您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好！为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更好发挥峰谷分时电价政策作用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，引导用户削峰填谷，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改善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电力供需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状况，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根据《省发展改革委关于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调整工商业峰谷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分时电价政策有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关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事项的通知》（浙发改价格〔202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〕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号），国网浙江省电力有限公司将对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工商业峰谷</w:t>
      </w:r>
      <w:r>
        <w:rPr>
          <w:rFonts w:hint="eastAsia" w:asciiTheme="minorEastAsia" w:hAnsiTheme="minorEastAsia" w:cstheme="minorEastAsia"/>
          <w:sz w:val="28"/>
          <w:szCs w:val="28"/>
        </w:rPr>
        <w:t>分时电价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进行调整，现将相关内容告知如下。</w:t>
      </w:r>
    </w:p>
    <w:p>
      <w:pPr>
        <w:numPr>
          <w:ilvl w:val="0"/>
          <w:numId w:val="0"/>
        </w:numPr>
        <w:adjustRightInd/>
        <w:snapToGrid/>
        <w:spacing w:line="600" w:lineRule="exact"/>
        <w:ind w:firstLine="640" w:firstLineChars="0"/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highlight w:val="none"/>
          <w:shd w:val="clear"/>
        </w:rPr>
      </w:pPr>
      <w:r>
        <w:rPr>
          <w:rFonts w:hint="eastAsia" w:asciiTheme="minorEastAsia" w:hAnsiTheme="minorEastAsia" w:cstheme="minorEastAsia"/>
          <w:b/>
          <w:bCs/>
          <w:kern w:val="2"/>
          <w:sz w:val="28"/>
          <w:szCs w:val="28"/>
          <w:highlight w:val="none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highlight w:val="none"/>
          <w:shd w:val="clear"/>
        </w:rPr>
        <w:t>执行范围</w:t>
      </w:r>
    </w:p>
    <w:p>
      <w:pPr>
        <w:numPr>
          <w:ilvl w:val="-1"/>
          <w:numId w:val="0"/>
        </w:numPr>
        <w:spacing w:line="600" w:lineRule="exact"/>
        <w:ind w:firstLine="562" w:firstLineChars="200"/>
        <w:jc w:val="left"/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highlight w:val="none"/>
          <w:shd w:val="clear"/>
        </w:rPr>
        <w:t>大工业电价用户：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  <w:t>需全年执行峰谷</w:t>
      </w:r>
      <w:r>
        <w:rPr>
          <w:rFonts w:hint="eastAsia" w:asciiTheme="minorEastAsia" w:hAnsiTheme="minorEastAsia" w:cstheme="minorEastAsia"/>
          <w:spacing w:val="0"/>
          <w:sz w:val="28"/>
          <w:szCs w:val="28"/>
          <w:highlight w:val="none"/>
          <w:shd w:val="clear"/>
          <w:lang w:val="en-US" w:eastAsia="zh-CN"/>
        </w:rPr>
        <w:t>分时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  <w:t>电价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（不包括国家有专门规定的电气化铁路牵引用电等）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  <w:t>。</w:t>
      </w:r>
    </w:p>
    <w:p>
      <w:pPr>
        <w:numPr>
          <w:ilvl w:val="-1"/>
          <w:numId w:val="0"/>
        </w:numPr>
        <w:spacing w:line="600" w:lineRule="exact"/>
        <w:ind w:firstLine="562" w:firstLineChars="200"/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0"/>
          <w:sz w:val="28"/>
          <w:szCs w:val="28"/>
          <w:highlight w:val="none"/>
          <w:shd w:val="clear"/>
        </w:rPr>
        <w:t>一般工商业电价用户：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  <w:lang w:val="en-US" w:eastAsia="zh-CN"/>
        </w:rPr>
        <w:t>可选择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  <w:t>执行峰谷</w:t>
      </w:r>
      <w:r>
        <w:rPr>
          <w:rFonts w:hint="eastAsia" w:asciiTheme="minorEastAsia" w:hAnsiTheme="minorEastAsia" w:cstheme="minorEastAsia"/>
          <w:spacing w:val="0"/>
          <w:sz w:val="28"/>
          <w:szCs w:val="28"/>
          <w:highlight w:val="none"/>
          <w:shd w:val="clear"/>
          <w:lang w:val="en-US" w:eastAsia="zh-CN"/>
        </w:rPr>
        <w:t>分时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  <w:t>电价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  <w:lang w:eastAsia="zh-CN"/>
        </w:rPr>
        <w:t>，选定后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  <w:lang w:val="en-US" w:eastAsia="zh-CN"/>
        </w:rPr>
        <w:t>12个月内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  <w:lang w:eastAsia="zh-CN"/>
        </w:rPr>
        <w:t>保持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  <w:lang w:val="en-US" w:eastAsia="zh-CN"/>
        </w:rPr>
        <w:t>不变</w:t>
      </w:r>
      <w:r>
        <w:rPr>
          <w:rFonts w:hint="eastAsia" w:asciiTheme="minorEastAsia" w:hAnsiTheme="minorEastAsia" w:eastAsiaTheme="minorEastAsia" w:cstheme="minorEastAsia"/>
          <w:spacing w:val="0"/>
          <w:sz w:val="28"/>
          <w:szCs w:val="28"/>
          <w:highlight w:val="none"/>
          <w:shd w:val="clear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kern w:val="0"/>
          <w:sz w:val="28"/>
          <w:szCs w:val="28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none"/>
          <w:lang w:val="en-US" w:eastAsia="zh-CN"/>
        </w:rPr>
        <w:t>执行时间</w:t>
      </w:r>
    </w:p>
    <w:p>
      <w:pPr>
        <w:spacing w:line="600" w:lineRule="exact"/>
        <w:ind w:firstLine="562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none"/>
          <w:lang w:val="en-US" w:eastAsia="zh-CN"/>
        </w:rPr>
        <w:t>大工业电价用户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于2024年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日起执行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。</w:t>
      </w:r>
    </w:p>
    <w:p>
      <w:pPr>
        <w:spacing w:line="600" w:lineRule="exact"/>
        <w:ind w:firstLine="562" w:firstLineChars="200"/>
        <w:jc w:val="left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none"/>
          <w:lang w:val="en-US" w:eastAsia="zh-CN"/>
        </w:rPr>
        <w:t>一般工商业电价用户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阶段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执行，其中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1-10千伏及以上的一般工商业电价用户于2024年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日起执行，不满1千伏的一般工商业电价用户于2024年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日起正式执行。</w:t>
      </w:r>
    </w:p>
    <w:p>
      <w:pPr>
        <w:numPr>
          <w:ilvl w:val="0"/>
          <w:numId w:val="0"/>
        </w:numPr>
        <w:spacing w:line="600" w:lineRule="exact"/>
        <w:ind w:firstLine="640" w:firstLineChars="0"/>
        <w:jc w:val="left"/>
        <w:rPr>
          <w:rFonts w:hint="eastAsia" w:asciiTheme="minorEastAsia" w:hAnsiTheme="minorEastAsia" w:cstheme="minorEastAsia"/>
          <w:b/>
          <w:bCs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kern w:val="0"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 w:cstheme="minorEastAsia"/>
          <w:b/>
          <w:bCs/>
          <w:kern w:val="0"/>
          <w:sz w:val="28"/>
          <w:szCs w:val="28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8"/>
          <w:szCs w:val="28"/>
          <w:lang w:val="en-US" w:eastAsia="zh-CN"/>
        </w:rPr>
        <w:t>峰谷时段及电价浮动比例</w:t>
      </w:r>
    </w:p>
    <w:p>
      <w:pPr>
        <w:numPr>
          <w:ilvl w:val="0"/>
          <w:numId w:val="0"/>
        </w:numPr>
        <w:spacing w:line="600" w:lineRule="exact"/>
        <w:ind w:right="-334" w:rightChars="-159" w:firstLine="560" w:firstLineChars="200"/>
        <w:jc w:val="left"/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</w:pP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1.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统一大工业电价用户和一般工商业电价用户峰谷时段。重大节假日</w:t>
      </w: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执行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深谷电价</w:t>
      </w: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eastAsia="zh-CN"/>
        </w:rPr>
        <w:t>，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春节、劳动节、国庆节三个节假日具体时间以国家公布为准</w:t>
      </w:r>
      <w:r>
        <w:rPr>
          <w:rStyle w:val="9"/>
          <w:rFonts w:hint="default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eastAsia="zh-CN"/>
        </w:rPr>
        <w:t>，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</w:rPr>
        <w:t>其中不满1千伏一般工商业用户在计量装置具备条件后执行。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具体时段划分见表</w:t>
      </w:r>
      <w:r>
        <w:rPr>
          <w:rStyle w:val="9"/>
          <w:rFonts w:hint="default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。</w:t>
      </w:r>
    </w:p>
    <w:p>
      <w:pPr>
        <w:numPr>
          <w:ilvl w:val="0"/>
          <w:numId w:val="0"/>
        </w:numPr>
        <w:spacing w:line="600" w:lineRule="exact"/>
        <w:ind w:right="-334" w:rightChars="-159" w:firstLine="562" w:firstLineChars="200"/>
        <w:jc w:val="center"/>
        <w:rPr>
          <w:rStyle w:val="9"/>
          <w:rFonts w:asciiTheme="minorEastAsia" w:hAnsiTheme="minorEastAsia" w:cstheme="minorEastAsia"/>
          <w:b/>
          <w:bCs/>
          <w:sz w:val="28"/>
          <w:szCs w:val="28"/>
        </w:rPr>
      </w:pPr>
      <w:r>
        <w:rPr>
          <w:rStyle w:val="9"/>
          <w:rFonts w:asciiTheme="minorEastAsia" w:hAnsiTheme="minorEastAsia" w:cstheme="minorEastAsia"/>
          <w:b/>
          <w:bCs/>
          <w:sz w:val="28"/>
          <w:szCs w:val="28"/>
        </w:rPr>
        <w:t>表1  峰谷时段划分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2938"/>
        <w:gridCol w:w="1159"/>
        <w:gridCol w:w="31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用户类别</w:t>
            </w:r>
          </w:p>
        </w:tc>
        <w:tc>
          <w:tcPr>
            <w:tcW w:w="42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峰谷时段划分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全部工商业用户</w:t>
            </w:r>
          </w:p>
        </w:tc>
        <w:tc>
          <w:tcPr>
            <w:tcW w:w="172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春秋季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（2-6月，9-11月）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高峰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eastAsia="zh-CN"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  <w:t>8:00-11:00、13:00-17:00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平段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  <w:t>17:00-24:00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低谷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  <w:t>0:00-8:00、11:00-13:00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夏冬季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（1月、7月、8月、12月）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尖峰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bidi="ar"/>
              </w:rPr>
              <w:t>9:00-11:00、15:00-17:00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高峰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bidi="ar"/>
              </w:rPr>
              <w:t>8:00-9:00、17:00-23:00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平段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bidi="ar"/>
              </w:rPr>
              <w:t>13:00-15:00、23:00-24:00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低谷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  <w:t>0:00-8:00、11:00-13:00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春节、五一、国庆假期</w:t>
            </w:r>
          </w:p>
        </w:tc>
        <w:tc>
          <w:tcPr>
            <w:tcW w:w="6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-2"/>
                <w:sz w:val="24"/>
                <w:szCs w:val="24"/>
                <w:lang w:val="en-US" w:eastAsia="zh-CN"/>
              </w:rPr>
              <w:t>深谷</w:t>
            </w:r>
          </w:p>
        </w:tc>
        <w:tc>
          <w:tcPr>
            <w:tcW w:w="1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afterAutospacing="0"/>
              <w:ind w:left="0" w:leftChars="0"/>
              <w:textAlignment w:val="center"/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" w:eastAsia="zh-CN" w:bidi="ar"/>
              </w:rPr>
            </w:pP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bidi="ar"/>
              </w:rPr>
              <w:t>10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24"/>
                <w:szCs w:val="24"/>
                <w:lang w:val="en" w:bidi="ar"/>
              </w:rPr>
              <w:t>:00-14:00</w:t>
            </w:r>
          </w:p>
        </w:tc>
      </w:tr>
    </w:tbl>
    <w:p>
      <w:pPr>
        <w:numPr>
          <w:ilvl w:val="0"/>
          <w:numId w:val="0"/>
        </w:numPr>
        <w:autoSpaceDE/>
        <w:adjustRightInd/>
        <w:snapToGrid/>
        <w:spacing w:line="600" w:lineRule="exact"/>
        <w:ind w:right="-334" w:rightChars="-159" w:firstLine="560" w:firstLineChars="200"/>
        <w:jc w:val="left"/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</w:pPr>
      <w:r>
        <w:rPr>
          <w:rStyle w:val="9"/>
          <w:rFonts w:hint="default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2.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调整峰谷电价浮动比例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w w:val="80"/>
          <w:sz w:val="28"/>
          <w:szCs w:val="28"/>
          <w:shd w:val="clear" w:color="auto" w:fill="FFFFFF"/>
        </w:rPr>
        <w:t>，</w:t>
      </w:r>
      <w:r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浮动比例以平段电价为基础</w:t>
      </w:r>
      <w:r>
        <w:rPr>
          <w:rStyle w:val="9"/>
          <w:rFonts w:hint="default" w:asciiTheme="minorEastAsia" w:hAnsiTheme="minorEastAsia" w:eastAsiaTheme="minorEastAsia" w:cstheme="minorEastAsia"/>
          <w:b w:val="0"/>
          <w:bCs w:val="0"/>
          <w:w w:val="80"/>
          <w:sz w:val="28"/>
          <w:szCs w:val="28"/>
          <w:shd w:val="clear" w:color="auto" w:fill="FFFFFF"/>
        </w:rPr>
        <w:t>。</w:t>
      </w:r>
      <w:r>
        <w:rPr>
          <w:rStyle w:val="9"/>
          <w:rFonts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具体见表</w:t>
      </w:r>
      <w:r>
        <w:rPr>
          <w:rStyle w:val="9"/>
          <w:rFonts w:hint="default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。</w:t>
      </w:r>
    </w:p>
    <w:p>
      <w:pPr>
        <w:numPr>
          <w:ilvl w:val="0"/>
          <w:numId w:val="0"/>
        </w:numPr>
        <w:autoSpaceDE/>
        <w:adjustRightInd/>
        <w:snapToGrid/>
        <w:spacing w:line="600" w:lineRule="exact"/>
        <w:ind w:right="-334" w:rightChars="-159" w:firstLine="562" w:firstLineChars="200"/>
        <w:jc w:val="center"/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</w:pPr>
      <w:r>
        <w:rPr>
          <w:rStyle w:val="9"/>
          <w:rFonts w:asciiTheme="minorEastAsia" w:hAnsiTheme="minorEastAsia" w:cstheme="minorEastAsia"/>
          <w:b/>
          <w:bCs/>
          <w:sz w:val="28"/>
          <w:szCs w:val="28"/>
        </w:rPr>
        <w:t>表2  峰谷电价浮动比例</w:t>
      </w:r>
    </w:p>
    <w:tbl>
      <w:tblPr>
        <w:tblStyle w:val="6"/>
        <w:tblW w:w="8940" w:type="dxa"/>
        <w:jc w:val="center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1082"/>
        <w:gridCol w:w="1317"/>
        <w:gridCol w:w="1533"/>
        <w:gridCol w:w="1434"/>
        <w:gridCol w:w="1457"/>
      </w:tblGrid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17" w:type="dxa"/>
            <w:vMerge w:val="restart"/>
            <w:tcBorders>
              <w:top w:val="single" w:color="000000" w:themeColor="text1" w:sz="6" w:space="0"/>
              <w:left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用电类别</w:t>
            </w:r>
          </w:p>
        </w:tc>
        <w:tc>
          <w:tcPr>
            <w:tcW w:w="1082" w:type="dxa"/>
            <w:vMerge w:val="restart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  <w:t>季节</w:t>
            </w:r>
          </w:p>
        </w:tc>
        <w:tc>
          <w:tcPr>
            <w:tcW w:w="5741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  <w:t>峰谷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电价浮动比例</w:t>
            </w:r>
          </w:p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（以平段电价为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eastAsia="zh-CN"/>
              </w:rPr>
              <w:t>基础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上下浮动）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17" w:type="dxa"/>
            <w:vMerge w:val="continue"/>
            <w:tcBorders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</w:p>
        </w:tc>
        <w:tc>
          <w:tcPr>
            <w:tcW w:w="1082" w:type="dxa"/>
            <w:vMerge w:val="continue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</w:p>
        </w:tc>
        <w:tc>
          <w:tcPr>
            <w:tcW w:w="13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尖峰上浮</w:t>
            </w:r>
          </w:p>
        </w:tc>
        <w:tc>
          <w:tcPr>
            <w:tcW w:w="153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高峰上浮</w:t>
            </w:r>
          </w:p>
        </w:tc>
        <w:tc>
          <w:tcPr>
            <w:tcW w:w="143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低谷下浮</w:t>
            </w:r>
          </w:p>
        </w:tc>
        <w:tc>
          <w:tcPr>
            <w:tcW w:w="145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深谷下浮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17" w:type="dxa"/>
            <w:vMerge w:val="restart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大工业电价</w:t>
            </w:r>
          </w:p>
        </w:tc>
        <w:tc>
          <w:tcPr>
            <w:tcW w:w="1082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  <w:t>春秋季</w:t>
            </w:r>
          </w:p>
        </w:tc>
        <w:tc>
          <w:tcPr>
            <w:tcW w:w="13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-</w:t>
            </w:r>
          </w:p>
        </w:tc>
        <w:tc>
          <w:tcPr>
            <w:tcW w:w="153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65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3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5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17" w:type="dxa"/>
            <w:vMerge w:val="continue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</w:p>
        </w:tc>
        <w:tc>
          <w:tcPr>
            <w:tcW w:w="1082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  <w:t>夏冬季</w:t>
            </w:r>
          </w:p>
        </w:tc>
        <w:tc>
          <w:tcPr>
            <w:tcW w:w="13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98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53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65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3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5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80%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17" w:type="dxa"/>
            <w:vMerge w:val="restart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  <w:t>一般工商业电价</w:t>
            </w:r>
          </w:p>
        </w:tc>
        <w:tc>
          <w:tcPr>
            <w:tcW w:w="1082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  <w:t>春秋季</w:t>
            </w:r>
          </w:p>
        </w:tc>
        <w:tc>
          <w:tcPr>
            <w:tcW w:w="13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-</w:t>
            </w:r>
          </w:p>
        </w:tc>
        <w:tc>
          <w:tcPr>
            <w:tcW w:w="153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3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55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5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2117" w:type="dxa"/>
            <w:vMerge w:val="continue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</w:rPr>
            </w:pPr>
          </w:p>
        </w:tc>
        <w:tc>
          <w:tcPr>
            <w:tcW w:w="1082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4"/>
                <w:szCs w:val="28"/>
                <w:highlight w:val="none"/>
                <w:lang w:val="en-US" w:eastAsia="zh-CN"/>
              </w:rPr>
              <w:t>夏冬季</w:t>
            </w:r>
          </w:p>
        </w:tc>
        <w:tc>
          <w:tcPr>
            <w:tcW w:w="131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65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53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3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  <w:lang w:val="en-US" w:eastAsia="zh-CN"/>
              </w:rPr>
              <w:t>62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%</w:t>
            </w:r>
          </w:p>
        </w:tc>
        <w:tc>
          <w:tcPr>
            <w:tcW w:w="145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>
            <w:pPr>
              <w:spacing w:line="288" w:lineRule="auto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2"/>
                <w:sz w:val="24"/>
                <w:szCs w:val="28"/>
                <w:highlight w:val="none"/>
              </w:rPr>
              <w:t>80%</w:t>
            </w:r>
          </w:p>
        </w:tc>
      </w:tr>
    </w:tbl>
    <w:p>
      <w:pPr>
        <w:numPr>
          <w:ilvl w:val="0"/>
          <w:numId w:val="0"/>
        </w:numPr>
        <w:spacing w:line="600" w:lineRule="exact"/>
        <w:ind w:right="-334" w:rightChars="-159" w:firstLine="560" w:firstLineChars="200"/>
        <w:jc w:val="left"/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</w:pP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四、企业可根据规定的分时时段，科学合理安排生产计划，积极参与削峰填谷，通过</w:t>
      </w:r>
      <w:r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“网上国网”app</w:t>
      </w: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中“电费管家”版块，自助检测用能情况及价格水平。请及时关注后续电费</w:t>
      </w:r>
      <w:r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情况，按时足额交纳。如有疑问请咨询当地供电营业厅或</w:t>
      </w: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通过</w:t>
      </w:r>
      <w:r>
        <w:rPr>
          <w:rStyle w:val="9"/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shd w:val="clear" w:color="auto" w:fill="FFFFFF"/>
        </w:rPr>
        <w:t>“网上国网”app</w:t>
      </w:r>
      <w:r>
        <w:rPr>
          <w:rStyle w:val="9"/>
          <w:rFonts w:hint="eastAsia" w:asciiTheme="minorEastAsia" w:hAnsiTheme="minorEastAsia" w:cstheme="minorEastAsia"/>
          <w:b w:val="0"/>
          <w:bCs w:val="0"/>
          <w:sz w:val="28"/>
          <w:szCs w:val="28"/>
          <w:shd w:val="clear" w:color="auto" w:fill="FFFFFF"/>
          <w:lang w:val="en-US" w:eastAsia="zh-CN"/>
        </w:rPr>
        <w:t>查询。</w:t>
      </w:r>
    </w:p>
    <w:p>
      <w:pPr>
        <w:numPr>
          <w:ilvl w:val="0"/>
          <w:numId w:val="0"/>
        </w:numPr>
        <w:spacing w:line="600" w:lineRule="exact"/>
        <w:ind w:right="-334" w:rightChars="-159" w:firstLine="560" w:firstLineChars="200"/>
        <w:jc w:val="left"/>
        <w:rPr>
          <w:rStyle w:val="9"/>
          <w:rFonts w:hint="eastAsia" w:asciiTheme="minorEastAsia" w:hAnsiTheme="minorEastAsia" w:cstheme="minorEastAsia"/>
          <w:b w:val="0"/>
          <w:bCs/>
          <w:sz w:val="28"/>
          <w:szCs w:val="28"/>
          <w:shd w:val="clear" w:color="auto" w:fill="FFFFFF"/>
          <w:lang w:val="en-US" w:eastAsia="zh-CN"/>
        </w:rPr>
      </w:pPr>
      <w:r>
        <w:rPr>
          <w:rStyle w:val="9"/>
          <w:rFonts w:hint="eastAsia" w:asciiTheme="minorEastAsia" w:hAnsiTheme="minorEastAsia" w:cstheme="minorEastAsia"/>
          <w:b w:val="0"/>
          <w:bCs/>
          <w:sz w:val="28"/>
          <w:szCs w:val="28"/>
          <w:shd w:val="clear" w:color="auto" w:fill="FFFFFF"/>
          <w:lang w:val="en-US" w:eastAsia="zh-CN"/>
        </w:rPr>
        <w:t>感谢您的支持与配合！</w:t>
      </w:r>
    </w:p>
    <w:p>
      <w:pPr>
        <w:widowControl w:val="0"/>
        <w:numPr>
          <w:ilvl w:val="0"/>
          <w:numId w:val="0"/>
        </w:numPr>
        <w:spacing w:line="240" w:lineRule="auto"/>
        <w:ind w:right="-334" w:rightChars="-159" w:firstLine="560" w:firstLineChars="200"/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pacing w:line="240" w:lineRule="auto"/>
        <w:ind w:right="-334" w:rightChars="-159" w:firstLine="560" w:firstLineChars="200"/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</w:pPr>
      <w:r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</w:rPr>
        <w:drawing>
          <wp:inline distT="0" distB="0" distL="114300" distR="114300">
            <wp:extent cx="1400810" cy="1223010"/>
            <wp:effectExtent l="0" t="0" r="8890" b="1524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122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</w:rPr>
        <w:t xml:space="preserve"> </w:t>
      </w:r>
      <w:r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  <w:t xml:space="preserve">                    </w:t>
      </w:r>
    </w:p>
    <w:p>
      <w:pPr>
        <w:widowControl w:val="0"/>
        <w:numPr>
          <w:ilvl w:val="0"/>
          <w:numId w:val="0"/>
        </w:numPr>
        <w:spacing w:line="240" w:lineRule="auto"/>
        <w:ind w:right="-334" w:rightChars="-159" w:firstLine="560" w:firstLineChars="200"/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240" w:lineRule="auto"/>
        <w:ind w:right="-334" w:rightChars="-159" w:firstLine="1120" w:firstLineChars="400"/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240" w:lineRule="auto"/>
        <w:ind w:right="-334" w:rightChars="-159" w:firstLine="1120" w:firstLineChars="400"/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240" w:lineRule="auto"/>
        <w:ind w:right="-334" w:rightChars="-159" w:firstLine="1120" w:firstLineChars="400"/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</w:pPr>
      <w:r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  <w:t>供电公司（盖章）</w:t>
      </w:r>
    </w:p>
    <w:p>
      <w:pPr>
        <w:widowControl w:val="0"/>
        <w:numPr>
          <w:ilvl w:val="0"/>
          <w:numId w:val="0"/>
        </w:numPr>
        <w:ind w:right="-334" w:rightChars="-159" w:firstLine="840" w:firstLineChars="300"/>
        <w:rPr>
          <w:rFonts w:asciiTheme="minorEastAsia" w:hAnsiTheme="minorEastAsia" w:cstheme="minorEastAsia"/>
          <w:sz w:val="28"/>
          <w:szCs w:val="28"/>
        </w:rPr>
      </w:pPr>
      <w:r>
        <w:rPr>
          <w:rStyle w:val="9"/>
          <w:rFonts w:hint="eastAsia" w:asciiTheme="majorEastAsia" w:hAnsiTheme="majorEastAsia" w:eastAsiaTheme="majorEastAsia" w:cstheme="majorEastAsia"/>
          <w:b w:val="0"/>
          <w:bCs/>
          <w:color w:val="232323"/>
          <w:sz w:val="28"/>
          <w:szCs w:val="28"/>
          <w:shd w:val="clear" w:color="auto" w:fill="FFFFFF"/>
          <w:lang w:val="en-US" w:eastAsia="zh-CN"/>
        </w:rPr>
        <w:t>年       月      日</w:t>
      </w:r>
    </w:p>
    <w:sectPr>
      <w:type w:val="continuous"/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1NTVkOWNiNTQyMDEzMzA1NmEwMTZlMTJjODU2NTgifQ=="/>
  </w:docVars>
  <w:rsids>
    <w:rsidRoot w:val="00FF41DC"/>
    <w:rsid w:val="00090E62"/>
    <w:rsid w:val="0014299A"/>
    <w:rsid w:val="0015392C"/>
    <w:rsid w:val="00280EF3"/>
    <w:rsid w:val="002A24FD"/>
    <w:rsid w:val="00390180"/>
    <w:rsid w:val="005323AE"/>
    <w:rsid w:val="00617A8F"/>
    <w:rsid w:val="00690019"/>
    <w:rsid w:val="006D5379"/>
    <w:rsid w:val="00707B85"/>
    <w:rsid w:val="00765F78"/>
    <w:rsid w:val="00786E08"/>
    <w:rsid w:val="00877B14"/>
    <w:rsid w:val="008B2E98"/>
    <w:rsid w:val="008B6842"/>
    <w:rsid w:val="009012C0"/>
    <w:rsid w:val="00A26DFD"/>
    <w:rsid w:val="00B4621E"/>
    <w:rsid w:val="00B5408B"/>
    <w:rsid w:val="00BF4635"/>
    <w:rsid w:val="00C75A37"/>
    <w:rsid w:val="00D817E8"/>
    <w:rsid w:val="00D936C2"/>
    <w:rsid w:val="00E0347D"/>
    <w:rsid w:val="00E11A2C"/>
    <w:rsid w:val="00E93DCE"/>
    <w:rsid w:val="00EE4D07"/>
    <w:rsid w:val="00F21A66"/>
    <w:rsid w:val="00F34D70"/>
    <w:rsid w:val="00FD4BF3"/>
    <w:rsid w:val="00FF41DC"/>
    <w:rsid w:val="014B4B14"/>
    <w:rsid w:val="05A95968"/>
    <w:rsid w:val="05D4031A"/>
    <w:rsid w:val="06820192"/>
    <w:rsid w:val="088B61F2"/>
    <w:rsid w:val="09115895"/>
    <w:rsid w:val="09394C29"/>
    <w:rsid w:val="094A2E9D"/>
    <w:rsid w:val="0A6D5722"/>
    <w:rsid w:val="0A9B179A"/>
    <w:rsid w:val="0AA55524"/>
    <w:rsid w:val="0D795180"/>
    <w:rsid w:val="0EC046DA"/>
    <w:rsid w:val="107E4646"/>
    <w:rsid w:val="123C49B5"/>
    <w:rsid w:val="12D536A6"/>
    <w:rsid w:val="13504ACC"/>
    <w:rsid w:val="13772438"/>
    <w:rsid w:val="150753B3"/>
    <w:rsid w:val="1573295D"/>
    <w:rsid w:val="171001C9"/>
    <w:rsid w:val="17B80644"/>
    <w:rsid w:val="17EB6C6C"/>
    <w:rsid w:val="188E6137"/>
    <w:rsid w:val="196E6997"/>
    <w:rsid w:val="1A4A4637"/>
    <w:rsid w:val="1CE91DAD"/>
    <w:rsid w:val="1F2622B4"/>
    <w:rsid w:val="1F264CE8"/>
    <w:rsid w:val="1F356A1F"/>
    <w:rsid w:val="20BD452B"/>
    <w:rsid w:val="20C91D2C"/>
    <w:rsid w:val="22CD11AD"/>
    <w:rsid w:val="233A377D"/>
    <w:rsid w:val="24B4508F"/>
    <w:rsid w:val="287A36F4"/>
    <w:rsid w:val="28B22E8E"/>
    <w:rsid w:val="29FB3493"/>
    <w:rsid w:val="2C1F7671"/>
    <w:rsid w:val="2CB64E88"/>
    <w:rsid w:val="2CC413E2"/>
    <w:rsid w:val="2CC45094"/>
    <w:rsid w:val="2E1D0288"/>
    <w:rsid w:val="30275F10"/>
    <w:rsid w:val="30D37E45"/>
    <w:rsid w:val="312E32CE"/>
    <w:rsid w:val="318C3A99"/>
    <w:rsid w:val="318D6D34"/>
    <w:rsid w:val="333F53BB"/>
    <w:rsid w:val="339424C0"/>
    <w:rsid w:val="346863B7"/>
    <w:rsid w:val="346C4839"/>
    <w:rsid w:val="34EB3CFB"/>
    <w:rsid w:val="37407074"/>
    <w:rsid w:val="3A217E73"/>
    <w:rsid w:val="3A791A5E"/>
    <w:rsid w:val="3AB35FD0"/>
    <w:rsid w:val="3B8B5737"/>
    <w:rsid w:val="3CAB3F0D"/>
    <w:rsid w:val="3CD016DD"/>
    <w:rsid w:val="3D1208B1"/>
    <w:rsid w:val="3D2E1C39"/>
    <w:rsid w:val="3F964A93"/>
    <w:rsid w:val="42AC0879"/>
    <w:rsid w:val="43F074E8"/>
    <w:rsid w:val="456A69C9"/>
    <w:rsid w:val="469519CD"/>
    <w:rsid w:val="472E0F8D"/>
    <w:rsid w:val="476A0BDB"/>
    <w:rsid w:val="47B7441E"/>
    <w:rsid w:val="47C020E2"/>
    <w:rsid w:val="4CE00E9D"/>
    <w:rsid w:val="4D4B54DB"/>
    <w:rsid w:val="4F2C0224"/>
    <w:rsid w:val="4F2C262F"/>
    <w:rsid w:val="504546C3"/>
    <w:rsid w:val="50C66313"/>
    <w:rsid w:val="51CC1FF3"/>
    <w:rsid w:val="531627F2"/>
    <w:rsid w:val="546D3E9D"/>
    <w:rsid w:val="546E569A"/>
    <w:rsid w:val="54DC14AA"/>
    <w:rsid w:val="54E722A8"/>
    <w:rsid w:val="56451002"/>
    <w:rsid w:val="564D66AA"/>
    <w:rsid w:val="56713470"/>
    <w:rsid w:val="572172AD"/>
    <w:rsid w:val="579F6F85"/>
    <w:rsid w:val="59343E4C"/>
    <w:rsid w:val="5A99132F"/>
    <w:rsid w:val="5B010128"/>
    <w:rsid w:val="5B2C637B"/>
    <w:rsid w:val="5B740741"/>
    <w:rsid w:val="5CA97B29"/>
    <w:rsid w:val="5E281F05"/>
    <w:rsid w:val="5E444205"/>
    <w:rsid w:val="5FDC1FC3"/>
    <w:rsid w:val="60730B79"/>
    <w:rsid w:val="60CB200D"/>
    <w:rsid w:val="62222E0D"/>
    <w:rsid w:val="64715A54"/>
    <w:rsid w:val="675B585F"/>
    <w:rsid w:val="67976DDC"/>
    <w:rsid w:val="681C2ABC"/>
    <w:rsid w:val="69223CF8"/>
    <w:rsid w:val="69850CD1"/>
    <w:rsid w:val="6AAE6BCF"/>
    <w:rsid w:val="6C28271F"/>
    <w:rsid w:val="6CCD1611"/>
    <w:rsid w:val="6E843215"/>
    <w:rsid w:val="708E3C26"/>
    <w:rsid w:val="71470BC0"/>
    <w:rsid w:val="719C77E6"/>
    <w:rsid w:val="72010A85"/>
    <w:rsid w:val="73D67993"/>
    <w:rsid w:val="750E7112"/>
    <w:rsid w:val="756A12F8"/>
    <w:rsid w:val="757D6C0C"/>
    <w:rsid w:val="7674695B"/>
    <w:rsid w:val="76A333E3"/>
    <w:rsid w:val="76F335C1"/>
    <w:rsid w:val="775A2EE4"/>
    <w:rsid w:val="79002D6F"/>
    <w:rsid w:val="7C5238E1"/>
    <w:rsid w:val="7DB20808"/>
    <w:rsid w:val="7E8963B7"/>
    <w:rsid w:val="CBBBB316"/>
    <w:rsid w:val="FCF2C030"/>
    <w:rsid w:val="FEEE7397"/>
    <w:rsid w:val="FFBA96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14">
    <w:name w:val="Heading2"/>
    <w:basedOn w:val="1"/>
    <w:next w:val="1"/>
    <w:qFormat/>
    <w:uiPriority w:val="0"/>
    <w:pPr>
      <w:spacing w:before="100" w:beforeAutospacing="1" w:after="100" w:afterAutospacing="1"/>
    </w:pPr>
    <w:rPr>
      <w:rFonts w:ascii="宋体" w:hAnsi="宋体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</Words>
  <Characters>538</Characters>
  <Lines>4</Lines>
  <Paragraphs>1</Paragraphs>
  <TotalTime>0</TotalTime>
  <ScaleCrop>false</ScaleCrop>
  <LinksUpToDate>false</LinksUpToDate>
  <CharactersWithSpaces>631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2021-09-12T14:49:00Z</dcterms:created>
  <dc:creator>Administrator</dc:creator>
  <cp:lastModifiedBy>袁婷</cp:lastModifiedBy>
  <dcterms:modified xsi:type="dcterms:W3CDTF">2024-01-31T08:06:26Z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36C34D8C15FA43DE98967FFA1648367B</vt:lpwstr>
  </property>
</Properties>
</file>