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96FE1" w:rsidRDefault="00000000">
      <w:pPr>
        <w:pStyle w:val="a3"/>
        <w:widowControl/>
        <w:spacing w:beforeAutospacing="0" w:afterAutospacing="0" w:line="360" w:lineRule="auto"/>
        <w:ind w:firstLineChars="200" w:firstLine="560"/>
        <w:rPr>
          <w:rFonts w:ascii="宋体" w:eastAsia="宋体" w:hAnsi="宋体" w:cs="宋体"/>
          <w:sz w:val="28"/>
          <w:szCs w:val="28"/>
        </w:rPr>
      </w:pPr>
      <w:r>
        <w:rPr>
          <w:rFonts w:ascii="宋体" w:eastAsia="宋体" w:hAnsi="宋体" w:cs="宋体" w:hint="eastAsia"/>
          <w:sz w:val="28"/>
          <w:szCs w:val="28"/>
        </w:rPr>
        <w:t>为贯彻执行《国家发展改革委关于进一步深化燃煤发电上网电价市场化改革的通知》（发改价格〔2021〕1439号）、《国家发展改革委办公厅关于组织开展电网企业代理购电工作有关事项的通知》（发改办价格〔2021〕809号）、《浙江省发展改革委关于调整我省目录销售电价有关事项的通知》（浙发改价格〔2021〕377号）等文件要求，现将国网浙江省电力有限公司代理购电服务有关事项公告如下。</w:t>
      </w:r>
    </w:p>
    <w:p w:rsidR="00796FE1" w:rsidRDefault="00000000">
      <w:pPr>
        <w:pStyle w:val="a3"/>
        <w:widowControl/>
        <w:spacing w:beforeAutospacing="0" w:afterAutospacing="0" w:line="360" w:lineRule="auto"/>
        <w:ind w:firstLineChars="200" w:firstLine="560"/>
        <w:rPr>
          <w:rFonts w:ascii="宋体" w:eastAsia="宋体" w:hAnsi="宋体" w:cs="宋体"/>
          <w:sz w:val="28"/>
          <w:szCs w:val="28"/>
        </w:rPr>
      </w:pPr>
      <w:r>
        <w:rPr>
          <w:rFonts w:ascii="宋体" w:eastAsia="宋体" w:hAnsi="宋体" w:cs="宋体" w:hint="eastAsia"/>
          <w:sz w:val="28"/>
          <w:szCs w:val="28"/>
        </w:rPr>
        <w:t>1. 浙江省发展改革委已发文取消浙江省工商业目录销售电价，推动工商业用户都进入市场，分时电价、容（需）量电价等继续按现行政策（浙发改价格〔2021〕377号）执行。</w:t>
      </w:r>
    </w:p>
    <w:p w:rsidR="00796FE1" w:rsidRDefault="00000000">
      <w:pPr>
        <w:pStyle w:val="a3"/>
        <w:widowControl/>
        <w:spacing w:beforeAutospacing="0" w:afterAutospacing="0" w:line="360" w:lineRule="auto"/>
        <w:ind w:firstLineChars="200" w:firstLine="560"/>
        <w:rPr>
          <w:rFonts w:ascii="宋体" w:eastAsia="宋体" w:hAnsi="宋体" w:cs="宋体"/>
          <w:sz w:val="28"/>
          <w:szCs w:val="28"/>
        </w:rPr>
      </w:pPr>
      <w:r>
        <w:rPr>
          <w:rFonts w:ascii="宋体" w:eastAsia="宋体" w:hAnsi="宋体" w:cs="宋体" w:hint="eastAsia"/>
          <w:sz w:val="28"/>
          <w:szCs w:val="28"/>
        </w:rPr>
        <w:t>2. 按照政府文件要求，自2021年12月1日起至12月31日，我公司供电范围的工商业用户全部由我公司代理参与市场购电。代理购电用户电价由代理购电价格、输配电价、基金及附加等组成，其中：代理购电价格由我公司代理用户参与市场交易形成。2021年12月1日前用户用电量按原工商业目录销售电价水平执行。</w:t>
      </w:r>
    </w:p>
    <w:p w:rsidR="00796FE1" w:rsidRDefault="00000000">
      <w:pPr>
        <w:pStyle w:val="a3"/>
        <w:widowControl/>
        <w:spacing w:beforeAutospacing="0" w:afterAutospacing="0" w:line="360" w:lineRule="auto"/>
        <w:ind w:firstLineChars="200" w:firstLine="560"/>
        <w:rPr>
          <w:rFonts w:ascii="宋体" w:eastAsia="宋体" w:hAnsi="宋体" w:cs="宋体"/>
          <w:sz w:val="28"/>
          <w:szCs w:val="28"/>
        </w:rPr>
      </w:pPr>
      <w:r>
        <w:rPr>
          <w:rFonts w:ascii="宋体" w:eastAsia="宋体" w:hAnsi="宋体" w:cs="宋体" w:hint="eastAsia"/>
          <w:sz w:val="28"/>
          <w:szCs w:val="28"/>
        </w:rPr>
        <w:t>3. 选择进入市场的工商业用户，根据政府文件公布时间起可选择向发电企业或售电公司购电。即日起，向发电企业购电的用户可通过电力交易平台（</w:t>
      </w:r>
      <w:hyperlink r:id="rId5" w:tgtFrame="http://www.zj.sgcc.com.cn/html/main/col642/2021-11/11/_blank" w:history="1">
        <w:r>
          <w:rPr>
            <w:rStyle w:val="a4"/>
            <w:rFonts w:ascii="宋体" w:eastAsia="宋体" w:hAnsi="宋体" w:cs="宋体" w:hint="eastAsia"/>
            <w:color w:val="545454"/>
            <w:sz w:val="28"/>
            <w:szCs w:val="28"/>
            <w:u w:val="none"/>
          </w:rPr>
          <w:t>http://zjpx.com.cn/</w:t>
        </w:r>
      </w:hyperlink>
      <w:r>
        <w:rPr>
          <w:rFonts w:ascii="宋体" w:eastAsia="宋体" w:hAnsi="宋体" w:cs="宋体" w:hint="eastAsia"/>
          <w:sz w:val="28"/>
          <w:szCs w:val="28"/>
        </w:rPr>
        <w:t>）进行市场注册。仍由我公司代理购电的工商业用户，可在每季度最后15日前选择下一季度起直接参与市场交易。</w:t>
      </w:r>
    </w:p>
    <w:p w:rsidR="00796FE1" w:rsidRDefault="00000000">
      <w:pPr>
        <w:pStyle w:val="a3"/>
        <w:widowControl/>
        <w:spacing w:beforeAutospacing="0" w:afterAutospacing="0" w:line="360" w:lineRule="auto"/>
        <w:ind w:firstLineChars="200" w:firstLine="560"/>
        <w:rPr>
          <w:rFonts w:ascii="宋体" w:eastAsia="宋体" w:hAnsi="宋体" w:cs="宋体"/>
          <w:sz w:val="28"/>
          <w:szCs w:val="28"/>
        </w:rPr>
      </w:pPr>
      <w:r>
        <w:rPr>
          <w:rFonts w:ascii="宋体" w:eastAsia="宋体" w:hAnsi="宋体" w:cs="宋体" w:hint="eastAsia"/>
          <w:sz w:val="28"/>
          <w:szCs w:val="28"/>
        </w:rPr>
        <w:t>4. 对于选择由我公司代理购电的工商业用户，11月10日起可在网上国网APP、供电营业厅等渠道，签订代理购电合同。</w:t>
      </w:r>
    </w:p>
    <w:p w:rsidR="00796FE1" w:rsidRDefault="00000000">
      <w:pPr>
        <w:pStyle w:val="a3"/>
        <w:widowControl/>
        <w:spacing w:beforeAutospacing="0" w:afterAutospacing="0" w:line="360" w:lineRule="auto"/>
        <w:ind w:firstLineChars="200" w:firstLine="560"/>
        <w:rPr>
          <w:rFonts w:ascii="宋体" w:eastAsia="宋体" w:hAnsi="宋体" w:cs="宋体"/>
          <w:sz w:val="28"/>
          <w:szCs w:val="28"/>
        </w:rPr>
      </w:pPr>
      <w:r>
        <w:rPr>
          <w:rFonts w:ascii="宋体" w:eastAsia="宋体" w:hAnsi="宋体" w:cs="宋体" w:hint="eastAsia"/>
          <w:sz w:val="28"/>
          <w:szCs w:val="28"/>
        </w:rPr>
        <w:t>5. 我公司将于每月底前3日通过网上国网APP、供电营业厅等线上线下渠道，公布次月的代理购电用户电价等相关购电信息。</w:t>
      </w:r>
    </w:p>
    <w:p w:rsidR="00796FE1" w:rsidRDefault="00000000">
      <w:pPr>
        <w:pStyle w:val="a3"/>
        <w:widowControl/>
        <w:spacing w:beforeAutospacing="0" w:afterAutospacing="0" w:line="360" w:lineRule="auto"/>
        <w:ind w:firstLineChars="200" w:firstLine="560"/>
        <w:rPr>
          <w:rFonts w:ascii="宋体" w:eastAsia="宋体" w:hAnsi="宋体" w:cs="宋体"/>
          <w:sz w:val="28"/>
          <w:szCs w:val="28"/>
        </w:rPr>
      </w:pPr>
      <w:r>
        <w:rPr>
          <w:rFonts w:ascii="宋体" w:eastAsia="宋体" w:hAnsi="宋体" w:cs="宋体" w:hint="eastAsia"/>
          <w:sz w:val="28"/>
          <w:szCs w:val="28"/>
        </w:rPr>
        <w:t>我公司将始终践行“人民电业为人民”的企业宗旨，全力以赴做好供电优质服务工作。用户如有其他问题请咨询95598电话、网上国网APP在线客服或当地供电营业厅。</w:t>
      </w:r>
    </w:p>
    <w:p w:rsidR="00796FE1" w:rsidRDefault="00000000">
      <w:pPr>
        <w:pStyle w:val="a3"/>
        <w:widowControl/>
        <w:spacing w:beforeAutospacing="0" w:afterAutospacing="0" w:line="480" w:lineRule="atLeast"/>
        <w:jc w:val="center"/>
        <w:rPr>
          <w:sz w:val="16"/>
          <w:szCs w:val="16"/>
        </w:rPr>
      </w:pPr>
      <w:r>
        <w:rPr>
          <w:noProof/>
          <w:sz w:val="14"/>
          <w:szCs w:val="14"/>
        </w:rPr>
        <w:drawing>
          <wp:inline distT="0" distB="0" distL="114300" distR="114300" wp14:anchorId="2EFB89F5" wp14:editId="02E8375A">
            <wp:extent cx="3996690" cy="5226050"/>
            <wp:effectExtent l="0" t="0" r="11430" b="127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6"/>
                    <a:stretch>
                      <a:fillRect/>
                    </a:stretch>
                  </pic:blipFill>
                  <pic:spPr>
                    <a:xfrm>
                      <a:off x="0" y="0"/>
                      <a:ext cx="3996690" cy="5226050"/>
                    </a:xfrm>
                    <a:prstGeom prst="rect">
                      <a:avLst/>
                    </a:prstGeom>
                    <a:noFill/>
                    <a:ln w="9525">
                      <a:noFill/>
                    </a:ln>
                  </pic:spPr>
                </pic:pic>
              </a:graphicData>
            </a:graphic>
          </wp:inline>
        </w:drawing>
      </w:r>
    </w:p>
    <w:p w:rsidR="00796FE1" w:rsidRDefault="00000000">
      <w:pPr>
        <w:pStyle w:val="a3"/>
        <w:widowControl/>
        <w:spacing w:beforeAutospacing="0" w:afterAutospacing="0" w:line="480" w:lineRule="atLeast"/>
        <w:jc w:val="center"/>
        <w:rPr>
          <w:sz w:val="16"/>
          <w:szCs w:val="16"/>
        </w:rPr>
      </w:pPr>
      <w:r>
        <w:rPr>
          <w:noProof/>
          <w:sz w:val="14"/>
          <w:szCs w:val="14"/>
        </w:rPr>
        <w:drawing>
          <wp:inline distT="0" distB="0" distL="114300" distR="114300" wp14:anchorId="21A025C7" wp14:editId="17D611F9">
            <wp:extent cx="4366895" cy="4807585"/>
            <wp:effectExtent l="0" t="0" r="6985" b="825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7"/>
                    <a:stretch>
                      <a:fillRect/>
                    </a:stretch>
                  </pic:blipFill>
                  <pic:spPr>
                    <a:xfrm>
                      <a:off x="0" y="0"/>
                      <a:ext cx="4366895" cy="4807585"/>
                    </a:xfrm>
                    <a:prstGeom prst="rect">
                      <a:avLst/>
                    </a:prstGeom>
                    <a:noFill/>
                    <a:ln w="9525">
                      <a:noFill/>
                    </a:ln>
                  </pic:spPr>
                </pic:pic>
              </a:graphicData>
            </a:graphic>
          </wp:inline>
        </w:drawing>
      </w:r>
    </w:p>
    <w:p w:rsidR="00796FE1" w:rsidRDefault="00000000">
      <w:pPr>
        <w:pStyle w:val="a3"/>
        <w:widowControl/>
        <w:spacing w:beforeAutospacing="0" w:afterAutospacing="0" w:line="480" w:lineRule="atLeast"/>
        <w:jc w:val="center"/>
        <w:rPr>
          <w:sz w:val="16"/>
          <w:szCs w:val="16"/>
        </w:rPr>
      </w:pPr>
      <w:r>
        <w:rPr>
          <w:noProof/>
          <w:sz w:val="14"/>
          <w:szCs w:val="14"/>
        </w:rPr>
        <w:drawing>
          <wp:inline distT="0" distB="0" distL="114300" distR="114300" wp14:anchorId="0A7C3D4D" wp14:editId="5B485D28">
            <wp:extent cx="4580890" cy="7068185"/>
            <wp:effectExtent l="0" t="0" r="6350" b="317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8"/>
                    <a:stretch>
                      <a:fillRect/>
                    </a:stretch>
                  </pic:blipFill>
                  <pic:spPr>
                    <a:xfrm>
                      <a:off x="0" y="0"/>
                      <a:ext cx="4580890" cy="7068185"/>
                    </a:xfrm>
                    <a:prstGeom prst="rect">
                      <a:avLst/>
                    </a:prstGeom>
                    <a:noFill/>
                    <a:ln w="9525">
                      <a:noFill/>
                    </a:ln>
                  </pic:spPr>
                </pic:pic>
              </a:graphicData>
            </a:graphic>
          </wp:inline>
        </w:drawing>
      </w:r>
    </w:p>
    <w:p w:rsidR="00796FE1" w:rsidRDefault="00000000">
      <w:pPr>
        <w:pStyle w:val="a3"/>
        <w:widowControl/>
        <w:spacing w:beforeAutospacing="0" w:afterAutospacing="0" w:line="480" w:lineRule="atLeast"/>
        <w:jc w:val="center"/>
        <w:rPr>
          <w:sz w:val="16"/>
          <w:szCs w:val="16"/>
        </w:rPr>
      </w:pPr>
      <w:r>
        <w:rPr>
          <w:noProof/>
          <w:sz w:val="14"/>
          <w:szCs w:val="14"/>
        </w:rPr>
        <w:drawing>
          <wp:inline distT="0" distB="0" distL="114300" distR="114300" wp14:anchorId="022AAB7D" wp14:editId="3A0199BA">
            <wp:extent cx="4744085" cy="8574405"/>
            <wp:effectExtent l="0" t="0" r="10795" b="5715"/>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9"/>
                    <a:stretch>
                      <a:fillRect/>
                    </a:stretch>
                  </pic:blipFill>
                  <pic:spPr>
                    <a:xfrm>
                      <a:off x="0" y="0"/>
                      <a:ext cx="4744085" cy="8574405"/>
                    </a:xfrm>
                    <a:prstGeom prst="rect">
                      <a:avLst/>
                    </a:prstGeom>
                    <a:noFill/>
                    <a:ln w="9525">
                      <a:noFill/>
                    </a:ln>
                  </pic:spPr>
                </pic:pic>
              </a:graphicData>
            </a:graphic>
          </wp:inline>
        </w:drawing>
      </w:r>
    </w:p>
    <w:p w:rsidR="00796FE1" w:rsidRDefault="00000000">
      <w:pPr>
        <w:pStyle w:val="a3"/>
        <w:widowControl/>
        <w:spacing w:beforeAutospacing="0" w:afterAutospacing="0" w:line="480" w:lineRule="atLeast"/>
        <w:jc w:val="center"/>
      </w:pPr>
      <w:r>
        <w:rPr>
          <w:noProof/>
          <w:sz w:val="14"/>
          <w:szCs w:val="14"/>
        </w:rPr>
        <w:drawing>
          <wp:inline distT="0" distB="0" distL="114300" distR="114300" wp14:anchorId="6A733AB4" wp14:editId="619FFCD5">
            <wp:extent cx="5520690" cy="9557385"/>
            <wp:effectExtent l="0" t="0" r="11430" b="13335"/>
            <wp:docPr id="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IMG_260"/>
                    <pic:cNvPicPr>
                      <a:picLocks noChangeAspect="1"/>
                    </pic:cNvPicPr>
                  </pic:nvPicPr>
                  <pic:blipFill>
                    <a:blip r:embed="rId10"/>
                    <a:stretch>
                      <a:fillRect/>
                    </a:stretch>
                  </pic:blipFill>
                  <pic:spPr>
                    <a:xfrm>
                      <a:off x="0" y="0"/>
                      <a:ext cx="5520690" cy="9557385"/>
                    </a:xfrm>
                    <a:prstGeom prst="rect">
                      <a:avLst/>
                    </a:prstGeom>
                    <a:noFill/>
                    <a:ln w="9525">
                      <a:noFill/>
                    </a:ln>
                  </pic:spPr>
                </pic:pic>
              </a:graphicData>
            </a:graphic>
          </wp:inline>
        </w:drawing>
      </w:r>
    </w:p>
    <w:sectPr w:rsidR="00796F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6A401A7"/>
    <w:rsid w:val="00706C75"/>
    <w:rsid w:val="00796FE1"/>
    <w:rsid w:val="00A82CE5"/>
    <w:rsid w:val="26782DDA"/>
    <w:rsid w:val="36A401A7"/>
    <w:rsid w:val="73B85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74562C1"/>
  <w15:docId w15:val="{3453ED0F-9E12-4F1C-8650-5B2AB1104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 w:type="paragraph" w:customStyle="1" w:styleId="a5">
    <w:name w:val="分类小标"/>
    <w:basedOn w:val="2"/>
    <w:next w:val="a"/>
    <w:pPr>
      <w:spacing w:before="0"/>
    </w:pPr>
    <w:rPr>
      <w:rFonts w:ascii="宋体" w:eastAsia="宋体" w:hAnsi="宋体" w:cs="Times New Roman" w:hint="eastAsia"/>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zjpx.com.cn/"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129</Words>
  <Characters>737</Characters>
  <Application>Microsoft Office Word</Application>
  <DocSecurity>0</DocSecurity>
  <Lines>6</Lines>
  <Paragraphs>1</Paragraphs>
  <ScaleCrop>false</ScaleCrop>
  <Company/>
  <LinksUpToDate>false</LinksUpToDate>
  <CharactersWithSpaces>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mooncake-</dc:creator>
  <cp:lastModifiedBy>褚 海云</cp:lastModifiedBy>
  <cp:revision>1</cp:revision>
  <dcterms:created xsi:type="dcterms:W3CDTF">2022-07-19T08:00:00Z</dcterms:created>
  <dcterms:modified xsi:type="dcterms:W3CDTF">2022-07-19T08:00:00Z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0ABC8E823DA744D894390C529E54F0EE</vt:lpwstr>
  </property>
</Properties>
</file>